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6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327FDA" w:rsidRPr="008675F7" w:rsidP="00327FDA" w14:paraId="4D862FB8" w14:textId="7777777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/>
          <w:sz w:val="32"/>
          <w:szCs w:val="32"/>
        </w:rPr>
      </w:pPr>
      <w:r w:rsidRPr="008675F7">
        <w:rPr>
          <w:rFonts w:asciiTheme="minorHAnsi" w:hAnsiTheme="minorHAnsi"/>
          <w:sz w:val="32"/>
          <w:szCs w:val="32"/>
        </w:rPr>
        <w:t>Formål og omfang</w:t>
      </w:r>
    </w:p>
    <w:p w:rsidR="00327FDA" w:rsidP="001228EA" w14:paraId="4D862FB9" w14:textId="77777777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Sikre at</w:t>
      </w:r>
      <w:bookmarkStart w:id="0" w:name="tempHer"/>
      <w:bookmarkEnd w:id="0"/>
      <w:r>
        <w:rPr>
          <w:rFonts w:asciiTheme="minorHAnsi" w:hAnsiTheme="minorHAnsi"/>
        </w:rPr>
        <w:t xml:space="preserve"> lave elementer blir løftet og montert uten noe vesentlig rotasjon grunnet</w:t>
      </w:r>
      <w:r w:rsidR="008675F7">
        <w:rPr>
          <w:rFonts w:asciiTheme="minorHAnsi" w:hAnsiTheme="minorHAnsi"/>
        </w:rPr>
        <w:t xml:space="preserve"> høyt og</w:t>
      </w:r>
      <w:r>
        <w:rPr>
          <w:rFonts w:asciiTheme="minorHAnsi" w:hAnsiTheme="minorHAnsi"/>
        </w:rPr>
        <w:t xml:space="preserve"> eksentrisk plassert tyngdepunkt. Samtidig skal rutinen sørge for at elementer blir prosjektert med en lavest mulig risiko for uhell under håndtering.</w:t>
      </w:r>
    </w:p>
    <w:p w:rsidR="008675F7" w:rsidP="00327FDA" w14:paraId="4D862FBA" w14:textId="77777777">
      <w:pPr>
        <w:spacing w:after="120"/>
        <w:rPr>
          <w:rFonts w:asciiTheme="minorHAnsi" w:hAnsiTheme="minorHAnsi"/>
        </w:rPr>
      </w:pPr>
    </w:p>
    <w:p w:rsidR="00327FDA" w:rsidRPr="008675F7" w:rsidP="00327FDA" w14:paraId="4D862FBB" w14:textId="7777777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/>
          <w:sz w:val="32"/>
          <w:szCs w:val="32"/>
        </w:rPr>
      </w:pPr>
      <w:r w:rsidRPr="008675F7">
        <w:rPr>
          <w:rFonts w:asciiTheme="minorHAnsi" w:hAnsiTheme="minorHAnsi"/>
          <w:sz w:val="32"/>
          <w:szCs w:val="32"/>
        </w:rPr>
        <w:t>Ansvar</w:t>
      </w:r>
    </w:p>
    <w:p w:rsidR="00327FDA" w:rsidP="00327FDA" w14:paraId="4D862FBC" w14:textId="7A64ABF6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Prosjekterende.</w:t>
      </w:r>
    </w:p>
    <w:p w:rsidR="00327FDA" w:rsidP="00327FDA" w14:paraId="4D862FBD" w14:textId="77777777">
      <w:pPr>
        <w:spacing w:after="120"/>
        <w:rPr>
          <w:rFonts w:asciiTheme="minorHAnsi" w:hAnsiTheme="minorHAnsi"/>
        </w:rPr>
      </w:pPr>
    </w:p>
    <w:p w:rsidR="00327FDA" w:rsidRPr="008675F7" w:rsidP="00327FDA" w14:paraId="4D862FBE" w14:textId="7777777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/>
          <w:sz w:val="32"/>
          <w:szCs w:val="32"/>
        </w:rPr>
      </w:pPr>
      <w:r w:rsidRPr="008675F7">
        <w:rPr>
          <w:rFonts w:asciiTheme="minorHAnsi" w:hAnsiTheme="minorHAnsi"/>
          <w:sz w:val="32"/>
          <w:szCs w:val="32"/>
        </w:rPr>
        <w:t>Risiko</w:t>
      </w:r>
    </w:p>
    <w:p w:rsidR="00327FDA" w:rsidP="00327FDA" w14:paraId="4D862FBF" w14:textId="2A1F2BA3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HMS i fabrikk og på byggeplass. </w:t>
      </w:r>
      <w:r w:rsidR="008675F7">
        <w:rPr>
          <w:rFonts w:asciiTheme="minorHAnsi" w:hAnsiTheme="minorHAnsi"/>
        </w:rPr>
        <w:t>Utfordringer ved elementmontasje.</w:t>
      </w:r>
      <w:r>
        <w:rPr>
          <w:rFonts w:asciiTheme="minorHAnsi" w:hAnsiTheme="minorHAnsi"/>
        </w:rPr>
        <w:br/>
      </w:r>
      <w:r w:rsidR="008675F7">
        <w:rPr>
          <w:rFonts w:asciiTheme="minorHAnsi" w:hAnsiTheme="minorHAnsi"/>
        </w:rPr>
        <w:t>Risiko for uhell grunnet ustabilt element som følge av uheldig plassering av tyngdepunkt.</w:t>
      </w:r>
    </w:p>
    <w:p w:rsidR="008675F7" w:rsidP="00327FDA" w14:paraId="4D862FC0" w14:textId="77777777">
      <w:pPr>
        <w:spacing w:after="120"/>
        <w:rPr>
          <w:rFonts w:asciiTheme="minorHAnsi" w:hAnsiTheme="minorHAnsi"/>
        </w:rPr>
      </w:pPr>
    </w:p>
    <w:p w:rsidR="00105027" w:rsidRPr="00105027" w:rsidP="00105027" w14:paraId="5B96B05B" w14:textId="7777777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/>
          <w:sz w:val="32"/>
          <w:szCs w:val="32"/>
        </w:rPr>
      </w:pPr>
      <w:r w:rsidRPr="008675F7">
        <w:rPr>
          <w:rFonts w:asciiTheme="minorHAnsi" w:hAnsiTheme="minorHAnsi"/>
          <w:sz w:val="32"/>
          <w:szCs w:val="32"/>
        </w:rPr>
        <w:t>Beskrivelse</w:t>
      </w:r>
    </w:p>
    <w:p w:rsidR="009E0F07" w:rsidP="00105027" w14:paraId="4D862FC3" w14:textId="576E6E5C">
      <w:pPr>
        <w:spacing w:after="120"/>
        <w:rPr>
          <w:rFonts w:asciiTheme="minorHAnsi" w:hAnsiTheme="minorHAnsi"/>
        </w:rPr>
      </w:pPr>
      <w:r w:rsidRPr="00105027">
        <w:rPr>
          <w:rFonts w:asciiTheme="minorHAnsi" w:hAnsiTheme="minorHAnsi"/>
        </w:rPr>
        <w:t xml:space="preserve">Løfteanker </w:t>
      </w:r>
      <w:r w:rsidRPr="00105027">
        <w:rPr>
          <w:rFonts w:asciiTheme="minorHAnsi" w:hAnsiTheme="minorHAnsi"/>
          <w:u w:val="single"/>
        </w:rPr>
        <w:t>SKAL</w:t>
      </w:r>
      <w:r w:rsidRPr="00105027">
        <w:rPr>
          <w:rFonts w:asciiTheme="minorHAnsi" w:hAnsiTheme="minorHAnsi"/>
        </w:rPr>
        <w:t xml:space="preserve"> plasseres over tyngdepunkt</w:t>
      </w:r>
      <w:r w:rsidRPr="00105027">
        <w:rPr>
          <w:rFonts w:asciiTheme="minorHAnsi" w:hAnsiTheme="minorHAnsi"/>
        </w:rPr>
        <w:t xml:space="preserve"> slik at elementet blir</w:t>
      </w:r>
      <w:r w:rsidRPr="00105027">
        <w:rPr>
          <w:rFonts w:asciiTheme="minorHAnsi" w:hAnsiTheme="minorHAnsi"/>
        </w:rPr>
        <w:t xml:space="preserve"> stabilt.</w:t>
      </w:r>
      <w:r w:rsidRPr="00105027">
        <w:rPr>
          <w:rFonts w:asciiTheme="minorHAnsi" w:hAnsiTheme="minorHAnsi"/>
        </w:rPr>
        <w:br/>
      </w:r>
    </w:p>
    <w:p w:rsidR="009E0F07" w:rsidP="001228EA" w14:paraId="4D862FC4" w14:textId="6AA547CD">
      <w:pPr>
        <w:spacing w:after="120"/>
        <w:rPr>
          <w:rFonts w:asciiTheme="minorHAnsi" w:hAnsiTheme="minorHAnsi"/>
        </w:rPr>
      </w:pPr>
      <w:r w:rsidRPr="009E0F07">
        <w:rPr>
          <w:rFonts w:asciiTheme="minorHAnsi" w:hAnsiTheme="minorHAnsi"/>
          <w:b/>
          <w:bCs/>
          <w:u w:val="single"/>
        </w:rPr>
        <w:t>Ønsket løsning: Støping av «</w:t>
      </w:r>
      <w:r>
        <w:rPr>
          <w:rFonts w:asciiTheme="minorHAnsi" w:hAnsiTheme="minorHAnsi"/>
          <w:b/>
          <w:bCs/>
          <w:u w:val="single"/>
        </w:rPr>
        <w:t>innvendig pilaster</w:t>
      </w:r>
      <w:r w:rsidRPr="009E0F07">
        <w:rPr>
          <w:rFonts w:asciiTheme="minorHAnsi" w:hAnsiTheme="minorHAnsi"/>
          <w:b/>
          <w:bCs/>
          <w:u w:val="single"/>
        </w:rPr>
        <w:t>»</w:t>
      </w:r>
      <w:r>
        <w:rPr>
          <w:rFonts w:asciiTheme="minorHAnsi" w:hAnsiTheme="minorHAnsi"/>
        </w:rPr>
        <w:br/>
        <w:t>Se illustrasjoner under.</w:t>
      </w:r>
      <w:r>
        <w:rPr>
          <w:rFonts w:asciiTheme="minorHAnsi" w:hAnsiTheme="minorHAnsi"/>
        </w:rPr>
        <w:br/>
        <w:t>Fordelen er at l</w:t>
      </w:r>
      <w:r>
        <w:rPr>
          <w:rFonts w:asciiTheme="minorHAnsi" w:hAnsiTheme="minorHAnsi"/>
        </w:rPr>
        <w:t>øft blir plassert i tyngdepunktet.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t>Ulempen er tynnere isolasjon i disse områdene.</w:t>
      </w:r>
      <w:r>
        <w:rPr>
          <w:rFonts w:asciiTheme="minorHAnsi" w:hAnsiTheme="minorHAnsi"/>
        </w:rPr>
        <w:br/>
        <w:t>Hvis det er nødvendig så må man flytte pilaster «innover» i vegg (over hylle).</w:t>
      </w:r>
      <w:r>
        <w:rPr>
          <w:rFonts w:asciiTheme="minorHAnsi" w:hAnsiTheme="minorHAnsi"/>
        </w:rPr>
        <w:br/>
        <w:t xml:space="preserve">Da må man i tillegg passe på at det ikke kommer i konflikt med f.eks SDT og etv lage slisse i SDT-plate. </w:t>
      </w:r>
    </w:p>
    <w:p w:rsidR="009E0F07" w:rsidP="00574118" w14:paraId="4D862FC5" w14:textId="77777777">
      <w:pPr>
        <w:spacing w:after="120"/>
        <w:rPr>
          <w:rFonts w:asciiTheme="minorHAnsi" w:hAnsiTheme="minorHAnsi"/>
        </w:rPr>
      </w:pPr>
      <w:r>
        <w:rPr>
          <w:noProof/>
        </w:rPr>
        <w:drawing>
          <wp:inline distT="0" distB="0" distL="0" distR="0">
            <wp:extent cx="2819400" cy="3485483"/>
            <wp:effectExtent l="0" t="0" r="0" b="127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4"/>
                    <a:srcRect l="-1" t="1827" r="1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31" cy="3560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61791" cy="3522345"/>
            <wp:effectExtent l="0" t="0" r="635" b="190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5"/>
                    <a:srcRect l="-1" t="10043" r="-956" b="3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247" cy="3585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0F07" w:rsidP="00574118" w14:paraId="4D862FC6" w14:textId="77777777">
      <w:pPr>
        <w:spacing w:after="120"/>
        <w:rPr>
          <w:rFonts w:asciiTheme="minorHAnsi" w:hAnsiTheme="minorHAnsi"/>
        </w:rPr>
      </w:pPr>
      <w:r>
        <w:rPr>
          <w:noProof/>
        </w:rPr>
        <w:drawing>
          <wp:inline distT="0" distB="0" distL="0" distR="0">
            <wp:extent cx="3721674" cy="1965039"/>
            <wp:effectExtent l="19050" t="19050" r="12700" b="1651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1531" cy="210752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51864" cy="2728365"/>
            <wp:effectExtent l="19050" t="19050" r="10795" b="1524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7328" cy="27779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02319" w:rsidRPr="001D031A" w:rsidP="00574118" w14:paraId="4D862FE0" w14:textId="44E0FCC1">
      <w:pPr>
        <w:spacing w:after="120"/>
        <w:rPr>
          <w:rFonts w:asciiTheme="minorHAnsi" w:hAnsiTheme="minorHAnsi"/>
        </w:rPr>
      </w:pPr>
      <w:r>
        <w:rPr>
          <w:noProof/>
        </w:rPr>
        <w:drawing>
          <wp:inline distT="0" distB="0" distL="0" distR="0">
            <wp:extent cx="5647092" cy="1616567"/>
            <wp:effectExtent l="19050" t="19050" r="10795" b="22225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4192" cy="1644363"/>
                    </a:xfrm>
                    <a:prstGeom prst="rect">
                      <a:avLst/>
                    </a:prstGeom>
                    <a:ln w="12700">
                      <a:solidFill>
                        <a:schemeClr val="accent2"/>
                      </a:solidFill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245617" w:rsidP="00446F7F" w14:paraId="4D862FE1" w14:textId="77777777">
      <w:pPr>
        <w:spacing w:after="120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21670F">
            <w:pPr>
              <w:numPr>
                <w:ilvl w:val="0"/>
                <w:numId w:val="0"/>
              </w:numPr>
              <w:spacing w:after="120"/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21670F">
            <w:pPr>
              <w:numPr>
                <w:ilvl w:val="0"/>
                <w:numId w:val="0"/>
              </w:numPr>
              <w:spacing w:after="120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45617" w:rsidP="0021670F" w14:paraId="4D862FE8" w14:textId="29877123">
      <w:pPr>
        <w:spacing w:after="120"/>
      </w:pPr>
      <w:bookmarkEnd w:id="1"/>
      <w:r>
        <w:t>Eksterne referanser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03E0" w14:paraId="4D86300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060A" w:rsidRPr="00945D39" w:rsidP="00945D39" w14:paraId="4D863003" w14:textId="77777777">
    <w:pPr>
      <w:pStyle w:val="Footer"/>
      <w:tabs>
        <w:tab w:val="clear" w:pos="4536"/>
      </w:tabs>
      <w:rPr>
        <w:rFonts w:asciiTheme="minorHAnsi" w:hAnsiTheme="minorHAnsi"/>
        <w:color w:val="000080"/>
        <w:sz w:val="12"/>
        <w:szCs w:val="12"/>
      </w:rPr>
    </w:pPr>
    <w:r w:rsidRPr="00945D39">
      <w:rPr>
        <w:rFonts w:asciiTheme="minorHAnsi" w:hAnsiTheme="minorHAnsi"/>
        <w:color w:val="000080"/>
        <w:sz w:val="12"/>
        <w:szCs w:val="12"/>
      </w:rPr>
      <w:fldChar w:fldCharType="begin" w:fldLock="1"/>
    </w:r>
    <w:r w:rsidRPr="00945D39">
      <w:rPr>
        <w:rFonts w:asciiTheme="minorHAnsi" w:hAnsiTheme="minorHAnsi"/>
        <w:color w:val="000080"/>
        <w:sz w:val="12"/>
        <w:szCs w:val="12"/>
      </w:rPr>
      <w:instrText xml:space="preserve"> DOCPROPERTY EK_Bedriftsnavn </w:instrText>
    </w:r>
    <w:r w:rsidRPr="00945D39">
      <w:rPr>
        <w:rFonts w:asciiTheme="minorHAnsi" w:hAnsiTheme="minorHAnsi"/>
        <w:color w:val="000080"/>
        <w:sz w:val="12"/>
        <w:szCs w:val="12"/>
      </w:rPr>
      <w:fldChar w:fldCharType="separate"/>
    </w:r>
    <w:r w:rsidRPr="00945D39">
      <w:rPr>
        <w:rFonts w:asciiTheme="minorHAnsi" w:hAnsiTheme="minorHAnsi"/>
        <w:color w:val="000080"/>
        <w:sz w:val="12"/>
        <w:szCs w:val="12"/>
      </w:rPr>
      <w:t>Overhalla Gruppen</w:t>
    </w:r>
    <w:r w:rsidRPr="00945D39">
      <w:rPr>
        <w:rFonts w:asciiTheme="minorHAnsi" w:hAnsiTheme="minorHAnsi"/>
        <w:color w:val="000080"/>
        <w:sz w:val="12"/>
        <w:szCs w:val="12"/>
      </w:rPr>
      <w:fldChar w:fldCharType="end"/>
    </w:r>
    <w:r>
      <w:rPr>
        <w:rFonts w:asciiTheme="minorHAnsi" w:hAnsiTheme="minorHAnsi"/>
        <w:color w:val="000080"/>
        <w:sz w:val="12"/>
        <w:szCs w:val="12"/>
      </w:rPr>
      <w:tab/>
    </w:r>
    <w:r>
      <w:rPr>
        <w:rFonts w:asciiTheme="minorHAnsi" w:hAnsiTheme="minorHAnsi"/>
        <w:color w:val="000080"/>
        <w:sz w:val="12"/>
        <w:szCs w:val="12"/>
      </w:rPr>
      <w:fldChar w:fldCharType="begin" w:fldLock="1"/>
    </w:r>
    <w:r>
      <w:rPr>
        <w:rFonts w:asciiTheme="minorHAnsi" w:hAnsiTheme="minorHAnsi"/>
        <w:color w:val="000080"/>
        <w:sz w:val="12"/>
        <w:szCs w:val="12"/>
      </w:rPr>
      <w:instrText xml:space="preserve"> DOCPROPERTY EK_EKPrintMerke </w:instrText>
    </w:r>
    <w:r>
      <w:rPr>
        <w:rFonts w:asciiTheme="minorHAnsi" w:hAnsiTheme="minorHAnsi"/>
        <w:color w:val="000080"/>
        <w:sz w:val="12"/>
        <w:szCs w:val="12"/>
      </w:rPr>
      <w:fldChar w:fldCharType="separate"/>
    </w:r>
    <w:r>
      <w:rPr>
        <w:rFonts w:asciiTheme="minorHAnsi" w:hAnsiTheme="minorHAnsi"/>
        <w:color w:val="000080"/>
        <w:sz w:val="12"/>
        <w:szCs w:val="12"/>
      </w:rPr>
      <w:t>Uoffisiell utskrift er kun gyldig på utskriftsdato</w:t>
    </w:r>
    <w:r>
      <w:rPr>
        <w:rFonts w:asciiTheme="minorHAnsi" w:hAnsiTheme="minorHAnsi"/>
        <w:color w:val="000080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060A" w:rsidRPr="00945D39" w:rsidP="00945D39" w14:paraId="4D863028" w14:textId="77777777">
    <w:pPr>
      <w:pStyle w:val="Footer"/>
      <w:tabs>
        <w:tab w:val="clear" w:pos="4536"/>
      </w:tabs>
      <w:rPr>
        <w:rFonts w:asciiTheme="minorHAnsi" w:hAnsiTheme="minorHAnsi"/>
        <w:color w:val="000080"/>
        <w:sz w:val="12"/>
        <w:szCs w:val="12"/>
      </w:rPr>
    </w:pPr>
    <w:r w:rsidRPr="00945D39">
      <w:rPr>
        <w:rFonts w:asciiTheme="minorHAnsi" w:hAnsiTheme="minorHAnsi"/>
        <w:color w:val="000080"/>
        <w:sz w:val="12"/>
        <w:szCs w:val="12"/>
      </w:rPr>
      <w:fldChar w:fldCharType="begin" w:fldLock="1"/>
    </w:r>
    <w:r w:rsidRPr="00945D39">
      <w:rPr>
        <w:rFonts w:asciiTheme="minorHAnsi" w:hAnsiTheme="minorHAnsi"/>
        <w:color w:val="000080"/>
        <w:sz w:val="12"/>
        <w:szCs w:val="12"/>
      </w:rPr>
      <w:instrText xml:space="preserve"> DOCPROPERTY EK_Bedriftsnavn </w:instrText>
    </w:r>
    <w:r w:rsidRPr="00945D39">
      <w:rPr>
        <w:rFonts w:asciiTheme="minorHAnsi" w:hAnsiTheme="minorHAnsi"/>
        <w:color w:val="000080"/>
        <w:sz w:val="12"/>
        <w:szCs w:val="12"/>
      </w:rPr>
      <w:fldChar w:fldCharType="separate"/>
    </w:r>
    <w:r w:rsidRPr="00945D39">
      <w:rPr>
        <w:rFonts w:asciiTheme="minorHAnsi" w:hAnsiTheme="minorHAnsi"/>
        <w:color w:val="000080"/>
        <w:sz w:val="12"/>
        <w:szCs w:val="12"/>
      </w:rPr>
      <w:t>Overhalla Gruppen</w:t>
    </w:r>
    <w:r w:rsidRPr="00945D39">
      <w:rPr>
        <w:rFonts w:asciiTheme="minorHAnsi" w:hAnsiTheme="minorHAnsi"/>
        <w:color w:val="000080"/>
        <w:sz w:val="12"/>
        <w:szCs w:val="12"/>
      </w:rPr>
      <w:fldChar w:fldCharType="end"/>
    </w:r>
    <w:r>
      <w:rPr>
        <w:rFonts w:asciiTheme="minorHAnsi" w:hAnsiTheme="minorHAnsi"/>
        <w:color w:val="000080"/>
        <w:sz w:val="12"/>
        <w:szCs w:val="12"/>
      </w:rPr>
      <w:tab/>
    </w:r>
    <w:r>
      <w:rPr>
        <w:rFonts w:asciiTheme="minorHAnsi" w:hAnsiTheme="minorHAnsi"/>
        <w:color w:val="000080"/>
        <w:sz w:val="12"/>
        <w:szCs w:val="12"/>
      </w:rPr>
      <w:fldChar w:fldCharType="begin" w:fldLock="1"/>
    </w:r>
    <w:r>
      <w:rPr>
        <w:rFonts w:asciiTheme="minorHAnsi" w:hAnsiTheme="minorHAnsi"/>
        <w:color w:val="000080"/>
        <w:sz w:val="12"/>
        <w:szCs w:val="12"/>
      </w:rPr>
      <w:instrText xml:space="preserve"> DOCPROPERTY EK_EKPrintMerke </w:instrText>
    </w:r>
    <w:r>
      <w:rPr>
        <w:rFonts w:asciiTheme="minorHAnsi" w:hAnsiTheme="minorHAnsi"/>
        <w:color w:val="000080"/>
        <w:sz w:val="12"/>
        <w:szCs w:val="12"/>
      </w:rPr>
      <w:fldChar w:fldCharType="separate"/>
    </w:r>
    <w:r>
      <w:rPr>
        <w:rFonts w:asciiTheme="minorHAnsi" w:hAnsiTheme="minorHAnsi"/>
        <w:color w:val="000080"/>
        <w:sz w:val="12"/>
        <w:szCs w:val="12"/>
      </w:rPr>
      <w:t>Uoffisiell utskrift er kun gyldig på utskriftsdato</w:t>
    </w:r>
    <w:r>
      <w:rPr>
        <w:rFonts w:asciiTheme="minorHAnsi" w:hAnsiTheme="minorHAnsi"/>
        <w:color w:val="000080"/>
        <w:sz w:val="12"/>
        <w:szCs w:val="1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03E0" w14:paraId="4D862FF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7230"/>
      <w:gridCol w:w="2126"/>
    </w:tblGrid>
    <w:tr w14:paraId="4D863000" w14:textId="77777777" w:rsidTr="00945D39">
      <w:tblPrEx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230" w:type="dxa"/>
          <w:vAlign w:val="center"/>
        </w:tcPr>
        <w:p w:rsidR="00245617" w:rsidRPr="00945D39" w14:paraId="4D862FFC" w14:textId="77777777">
          <w:pPr>
            <w:rPr>
              <w:rFonts w:asciiTheme="minorHAnsi" w:hAnsiTheme="minorHAnsi"/>
              <w:sz w:val="28"/>
              <w:szCs w:val="28"/>
            </w:rPr>
          </w:pP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begin" w:fldLock="1"/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instrText>DOCPROPERTY EK_DokTittel \*charformat</w:instrText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separate"/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t>Løft av lave vegger</w:t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end"/>
          </w:r>
        </w:p>
      </w:tc>
      <w:tc>
        <w:tcPr>
          <w:tcW w:w="2126" w:type="dxa"/>
        </w:tcPr>
        <w:p w:rsidR="00245617" w:rsidRPr="00FD060A" w14:paraId="4D862FFD" w14:textId="77777777">
          <w:pPr>
            <w:tabs>
              <w:tab w:val="left" w:pos="590"/>
            </w:tabs>
            <w:spacing w:before="40" w:after="20"/>
            <w:rPr>
              <w:rFonts w:asciiTheme="minorHAnsi" w:hAnsiTheme="minorHAnsi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Dok.id.: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begin" w:fldLock="1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instrText xml:space="preserve">DOCPROPERTY EK_RefNr </w:instrTex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instrText>\*charformat</w:instrTex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t>1.2.4.14.2.19</w: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end"/>
          </w:r>
        </w:p>
        <w:p w:rsidR="00245617" w:rsidRPr="00FD060A" w14:paraId="4D862FFE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Theme="minorHAnsi" w:hAnsiTheme="minorHAnsi"/>
              <w:color w:val="000080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Versjon: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begin" w:fldLock="1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instrText xml:space="preserve"> DOCPROPERTY EK_Utgave </w:instrTex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t>5.00</w: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end"/>
          </w:r>
        </w:p>
        <w:p w:rsidR="00245617" w:rsidRPr="00FD060A" w14:paraId="4D862FFF" w14:textId="77777777">
          <w:pPr>
            <w:tabs>
              <w:tab w:val="left" w:pos="590"/>
            </w:tabs>
            <w:spacing w:before="20" w:after="20"/>
            <w:rPr>
              <w:rFonts w:asciiTheme="minorHAnsi" w:hAnsiTheme="minorHAnsi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Side: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begin"/>
          </w:r>
          <w:r w:rsidRPr="00FD060A">
            <w:rPr>
              <w:rFonts w:asciiTheme="minorHAnsi" w:hAnsiTheme="minorHAnsi"/>
              <w:sz w:val="16"/>
              <w:szCs w:val="16"/>
            </w:rPr>
            <w:instrText xml:space="preserve">PAGE </w:instrTex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sz w:val="16"/>
              <w:szCs w:val="16"/>
              <w:lang w:val="nb-NO" w:eastAsia="nb-NO" w:bidi="ar-SA"/>
            </w:rPr>
            <w:t>2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end"/>
          </w:r>
          <w:r w:rsidRPr="00FD060A">
            <w:rPr>
              <w:rFonts w:asciiTheme="minorHAnsi" w:hAnsiTheme="minorHAnsi"/>
              <w:sz w:val="16"/>
              <w:szCs w:val="16"/>
            </w:rPr>
            <w:t xml:space="preserve"> av 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begin"/>
          </w:r>
          <w:r w:rsidRPr="00FD060A">
            <w:rPr>
              <w:rFonts w:asciiTheme="minorHAnsi" w:hAnsiTheme="minorHAnsi"/>
              <w:sz w:val="16"/>
              <w:szCs w:val="16"/>
            </w:rPr>
            <w:instrText>NUMPAGES</w:instrTex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sz w:val="16"/>
              <w:szCs w:val="16"/>
              <w:lang w:val="nb-NO" w:eastAsia="nb-NO" w:bidi="ar-SA"/>
            </w:rPr>
            <w:t>2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end"/>
          </w:r>
        </w:p>
      </w:tc>
    </w:tr>
  </w:tbl>
  <w:p w:rsidR="00245617" w14:paraId="4D863001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67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445"/>
      <w:gridCol w:w="4677"/>
      <w:gridCol w:w="1275"/>
      <w:gridCol w:w="2279"/>
    </w:tblGrid>
    <w:tr w14:paraId="4D863008" w14:textId="77777777" w:rsidTr="00BC7E40">
      <w:tblPrEx>
        <w:tblW w:w="1067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Ex>
      <w:trPr>
        <w:trHeight w:val="170"/>
      </w:trPr>
      <w:tc>
        <w:tcPr>
          <w:tcW w:w="2445" w:type="dxa"/>
          <w:vMerge w:val="restart"/>
          <w:tcMar>
            <w:left w:w="0" w:type="dxa"/>
            <w:right w:w="57" w:type="dxa"/>
          </w:tcMar>
          <w:vAlign w:val="center"/>
        </w:tcPr>
        <w:p w:rsidR="00E80A7E" w:rsidP="00BC7E40" w14:paraId="4D863004" w14:textId="77777777">
          <w:pPr>
            <w:ind w:left="-108" w:right="-198"/>
            <w:jc w:val="center"/>
          </w:pPr>
          <w:r>
            <w:rPr>
              <w:noProof/>
            </w:rPr>
            <w:drawing>
              <wp:inline distT="0" distB="0" distL="0" distR="0">
                <wp:extent cx="1440000" cy="432000"/>
                <wp:effectExtent l="0" t="0" r="8255" b="6350"/>
                <wp:docPr id="2" name="Bilde 2" descr="\\SBS2008\RedirectedFolders\Sveinare\My Documents\My Pictures\liten logo overhalla betongbygg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\\SBS2008\RedirectedFolders\Sveinare\My Documents\My Pictures\liten logo overhalla betongbygg.tif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:rsidR="00E80A7E" w:rsidRPr="00045BAF" w:rsidP="00916011" w14:paraId="4D863005" w14:textId="77777777">
          <w:pPr>
            <w:jc w:val="center"/>
            <w:rPr>
              <w:color w:val="000080"/>
              <w:sz w:val="28"/>
              <w:szCs w:val="28"/>
            </w:rPr>
          </w:pPr>
          <w:r>
            <w:rPr>
              <w:color w:val="000080"/>
              <w:sz w:val="28"/>
              <w:szCs w:val="28"/>
              <w:lang w:val="en-US"/>
            </w:rPr>
            <w:fldChar w:fldCharType="begin" w:fldLock="1"/>
          </w:r>
          <w:r w:rsidRPr="00045BAF">
            <w:rPr>
              <w:color w:val="000080"/>
              <w:sz w:val="28"/>
              <w:szCs w:val="28"/>
            </w:rPr>
            <w:instrText xml:space="preserve"> DOCPROPERTY EK_DokTittel </w:instrText>
          </w:r>
          <w:r>
            <w:rPr>
              <w:color w:val="000080"/>
              <w:sz w:val="28"/>
              <w:szCs w:val="28"/>
              <w:lang w:val="en-US"/>
            </w:rPr>
            <w:fldChar w:fldCharType="separate"/>
          </w:r>
          <w:r w:rsidRPr="00045BAF">
            <w:rPr>
              <w:color w:val="000080"/>
              <w:sz w:val="28"/>
              <w:szCs w:val="28"/>
            </w:rPr>
            <w:t>Løft av lave vegger</w:t>
          </w:r>
          <w:r>
            <w:rPr>
              <w:color w:val="000080"/>
              <w:sz w:val="28"/>
              <w:szCs w:val="28"/>
              <w:lang w:val="en-US"/>
            </w:rPr>
            <w:fldChar w:fldCharType="end"/>
          </w:r>
        </w:p>
      </w:tc>
      <w:tc>
        <w:tcPr>
          <w:tcW w:w="1275" w:type="dxa"/>
        </w:tcPr>
        <w:p w:rsidR="00E80A7E" w:rsidRPr="003E372F" w:rsidP="00916011" w14:paraId="4D863006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Dok id:</w:t>
          </w:r>
        </w:p>
      </w:tc>
      <w:tc>
        <w:tcPr>
          <w:tcW w:w="2279" w:type="dxa"/>
        </w:tcPr>
        <w:p w:rsidR="00E80A7E" w:rsidRPr="00E80A7E" w:rsidP="00916011" w14:paraId="4D863007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1.2.4.14.2.19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D86300D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4D863009" w14:textId="77777777">
          <w:pPr>
            <w:rPr>
              <w:rFonts w:ascii="Times New Roman" w:hAnsi="Times New Roman"/>
              <w:noProof/>
              <w:lang w:eastAsia="nb-NO"/>
            </w:rPr>
          </w:pPr>
        </w:p>
      </w:tc>
      <w:tc>
        <w:tcPr>
          <w:tcW w:w="4677" w:type="dxa"/>
          <w:vMerge/>
          <w:vAlign w:val="center"/>
        </w:tcPr>
        <w:p w:rsidR="00E80A7E" w:rsidRPr="000F684A" w:rsidP="00916011" w14:paraId="4D86300A" w14:textId="77777777">
          <w:pPr>
            <w:jc w:val="center"/>
            <w:rPr>
              <w:sz w:val="40"/>
            </w:rPr>
          </w:pPr>
        </w:p>
      </w:tc>
      <w:tc>
        <w:tcPr>
          <w:tcW w:w="1275" w:type="dxa"/>
        </w:tcPr>
        <w:p w:rsidR="00E80A7E" w:rsidRPr="003E372F" w:rsidP="00916011" w14:paraId="4D86300B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Versjon:</w:t>
          </w:r>
        </w:p>
      </w:tc>
      <w:tc>
        <w:tcPr>
          <w:tcW w:w="2279" w:type="dxa"/>
        </w:tcPr>
        <w:p w:rsidR="00E80A7E" w:rsidRPr="00E80A7E" w:rsidP="00916011" w14:paraId="4D86300C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5.00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D863012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4D86300E" w14:textId="77777777">
          <w:pPr>
            <w:rPr>
              <w:rFonts w:ascii="Times New Roman" w:hAnsi="Times New Roman"/>
              <w:noProof/>
              <w:lang w:eastAsia="nb-NO"/>
            </w:rPr>
          </w:pPr>
        </w:p>
      </w:tc>
      <w:tc>
        <w:tcPr>
          <w:tcW w:w="4677" w:type="dxa"/>
          <w:vMerge/>
          <w:vAlign w:val="center"/>
        </w:tcPr>
        <w:p w:rsidR="00E80A7E" w:rsidRPr="000F684A" w:rsidP="00916011" w14:paraId="4D86300F" w14:textId="77777777">
          <w:pPr>
            <w:jc w:val="center"/>
            <w:rPr>
              <w:sz w:val="40"/>
            </w:rPr>
          </w:pPr>
        </w:p>
      </w:tc>
      <w:tc>
        <w:tcPr>
          <w:tcW w:w="1275" w:type="dxa"/>
        </w:tcPr>
        <w:p w:rsidR="00E80A7E" w:rsidRPr="003E372F" w:rsidP="00916011" w14:paraId="4D863010" w14:textId="77777777">
          <w:pPr>
            <w:jc w:val="right"/>
            <w:rPr>
              <w:sz w:val="16"/>
            </w:rPr>
          </w:pPr>
          <w:r>
            <w:rPr>
              <w:sz w:val="16"/>
            </w:rPr>
            <w:t>Dokumenteier</w:t>
          </w:r>
          <w:r w:rsidRPr="003E372F">
            <w:rPr>
              <w:sz w:val="16"/>
            </w:rPr>
            <w:t>:</w:t>
          </w:r>
        </w:p>
      </w:tc>
      <w:tc>
        <w:tcPr>
          <w:tcW w:w="2279" w:type="dxa"/>
        </w:tcPr>
        <w:p w:rsidR="00E80A7E" w:rsidRPr="00F30BC9" w:rsidP="00F30BC9" w14:paraId="4D863011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EK_Ansvarlig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Maciej Wisniewski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D863017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4D863013" w14:textId="77777777"/>
      </w:tc>
      <w:tc>
        <w:tcPr>
          <w:tcW w:w="4677" w:type="dxa"/>
          <w:vMerge/>
        </w:tcPr>
        <w:p w:rsidR="00E80A7E" w:rsidP="00916011" w14:paraId="4D863014" w14:textId="77777777"/>
      </w:tc>
      <w:tc>
        <w:tcPr>
          <w:tcW w:w="1275" w:type="dxa"/>
        </w:tcPr>
        <w:p w:rsidR="00E80A7E" w:rsidRPr="003E372F" w:rsidP="00916011" w14:paraId="4D863015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Godkjent av:</w:t>
          </w:r>
        </w:p>
      </w:tc>
      <w:tc>
        <w:tcPr>
          <w:tcW w:w="2279" w:type="dxa"/>
        </w:tcPr>
        <w:p w:rsidR="00E80A7E" w:rsidRPr="00E80A7E" w:rsidP="00916011" w14:paraId="4D863016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Hans Bakken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D86301C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4D863018" w14:textId="77777777"/>
      </w:tc>
      <w:tc>
        <w:tcPr>
          <w:tcW w:w="4677" w:type="dxa"/>
          <w:vMerge/>
        </w:tcPr>
        <w:p w:rsidR="00E80A7E" w:rsidP="00916011" w14:paraId="4D863019" w14:textId="77777777"/>
      </w:tc>
      <w:tc>
        <w:tcPr>
          <w:tcW w:w="1275" w:type="dxa"/>
        </w:tcPr>
        <w:p w:rsidR="00E80A7E" w:rsidRPr="003E372F" w:rsidP="00916011" w14:paraId="4D86301A" w14:textId="77777777">
          <w:pPr>
            <w:jc w:val="right"/>
            <w:rPr>
              <w:sz w:val="16"/>
            </w:rPr>
          </w:pPr>
          <w:r>
            <w:rPr>
              <w:sz w:val="16"/>
            </w:rPr>
            <w:t>Målgruppe:</w:t>
          </w:r>
        </w:p>
      </w:tc>
      <w:tc>
        <w:tcPr>
          <w:tcW w:w="2279" w:type="dxa"/>
        </w:tcPr>
        <w:p w:rsidR="00E80A7E" w:rsidRPr="00FD060A" w:rsidP="00916011" w14:paraId="4D86301B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 w:rsidR="00521426">
            <w:rPr>
              <w:color w:val="000080"/>
              <w:sz w:val="16"/>
            </w:rPr>
            <w:instrText xml:space="preserve"> DOCPROPERTY EK_UText2</w:instrText>
          </w:r>
          <w:r>
            <w:rPr>
              <w:color w:val="000080"/>
              <w:sz w:val="16"/>
            </w:rPr>
            <w:instrText xml:space="preserve"> </w:instrText>
          </w:r>
          <w:r>
            <w:rPr>
              <w:color w:val="000080"/>
              <w:sz w:val="16"/>
            </w:rPr>
            <w:fldChar w:fldCharType="separate"/>
          </w:r>
          <w:r w:rsidR="00521426">
            <w:rPr>
              <w:color w:val="000080"/>
              <w:sz w:val="16"/>
            </w:rPr>
            <w:t>Konstruksjon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D863021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4D86301D" w14:textId="77777777"/>
      </w:tc>
      <w:tc>
        <w:tcPr>
          <w:tcW w:w="4677" w:type="dxa"/>
          <w:vMerge/>
        </w:tcPr>
        <w:p w:rsidR="00E80A7E" w:rsidP="00916011" w14:paraId="4D86301E" w14:textId="77777777"/>
      </w:tc>
      <w:tc>
        <w:tcPr>
          <w:tcW w:w="1275" w:type="dxa"/>
        </w:tcPr>
        <w:p w:rsidR="00E80A7E" w:rsidRPr="003E372F" w:rsidP="00916011" w14:paraId="4D86301F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Gyldig fra:</w:t>
          </w:r>
        </w:p>
      </w:tc>
      <w:tc>
        <w:tcPr>
          <w:tcW w:w="2279" w:type="dxa"/>
        </w:tcPr>
        <w:p w:rsidR="00E80A7E" w:rsidRPr="00E80A7E" w:rsidP="00916011" w14:paraId="4D863020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12.10.2023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D863026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4D863022" w14:textId="77777777"/>
      </w:tc>
      <w:tc>
        <w:tcPr>
          <w:tcW w:w="4677" w:type="dxa"/>
          <w:vMerge/>
        </w:tcPr>
        <w:p w:rsidR="00E80A7E" w:rsidP="00916011" w14:paraId="4D863023" w14:textId="77777777"/>
      </w:tc>
      <w:tc>
        <w:tcPr>
          <w:tcW w:w="1275" w:type="dxa"/>
        </w:tcPr>
        <w:p w:rsidR="00E80A7E" w:rsidRPr="003E372F" w:rsidP="00916011" w14:paraId="4D863024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Side:</w:t>
          </w:r>
        </w:p>
      </w:tc>
      <w:tc>
        <w:tcPr>
          <w:tcW w:w="2279" w:type="dxa"/>
        </w:tcPr>
        <w:p w:rsidR="00E80A7E" w:rsidRPr="003E372F" w:rsidP="00916011" w14:paraId="4D863025" w14:textId="77777777">
          <w:pPr>
            <w:rPr>
              <w:sz w:val="16"/>
            </w:rPr>
          </w:pPr>
          <w:r w:rsidRPr="006D0D9C">
            <w:rPr>
              <w:b/>
              <w:sz w:val="16"/>
            </w:rPr>
            <w:fldChar w:fldCharType="begin"/>
          </w:r>
          <w:r w:rsidRPr="006D0D9C">
            <w:rPr>
              <w:b/>
              <w:sz w:val="16"/>
            </w:rPr>
            <w:instrText>PAGE  \* Arabic  \* MERGEFORMAT</w:instrText>
          </w:r>
          <w:r w:rsidRPr="006D0D9C">
            <w:rPr>
              <w:b/>
              <w:sz w:val="16"/>
            </w:rPr>
            <w:fldChar w:fldCharType="separate"/>
          </w:r>
          <w:r w:rsidR="00073F12">
            <w:rPr>
              <w:rFonts w:asciiTheme="minorHAnsi" w:eastAsiaTheme="minorHAnsi" w:hAnsiTheme="minorHAnsi" w:cstheme="minorBidi"/>
              <w:b/>
              <w:noProof/>
              <w:sz w:val="16"/>
              <w:szCs w:val="22"/>
              <w:lang w:val="nb-NO" w:eastAsia="en-US" w:bidi="ar-SA"/>
            </w:rPr>
            <w:t>1</w:t>
          </w:r>
          <w:r w:rsidRPr="006D0D9C">
            <w:rPr>
              <w:b/>
              <w:sz w:val="16"/>
            </w:rPr>
            <w:fldChar w:fldCharType="end"/>
          </w:r>
          <w:r w:rsidRPr="006D0D9C">
            <w:rPr>
              <w:sz w:val="16"/>
            </w:rPr>
            <w:t xml:space="preserve"> av </w:t>
          </w:r>
          <w:r w:rsidRPr="006D0D9C">
            <w:rPr>
              <w:b/>
              <w:sz w:val="16"/>
            </w:rPr>
            <w:fldChar w:fldCharType="begin"/>
          </w:r>
          <w:r w:rsidRPr="006D0D9C">
            <w:rPr>
              <w:b/>
              <w:sz w:val="16"/>
            </w:rPr>
            <w:instrText>NUMPAGES  \* Arabic  \* MERGEFORMAT</w:instrText>
          </w:r>
          <w:r w:rsidRPr="006D0D9C">
            <w:rPr>
              <w:b/>
              <w:sz w:val="16"/>
            </w:rPr>
            <w:fldChar w:fldCharType="separate"/>
          </w:r>
          <w:r w:rsidR="00073F12">
            <w:rPr>
              <w:rFonts w:asciiTheme="minorHAnsi" w:eastAsiaTheme="minorHAnsi" w:hAnsiTheme="minorHAnsi" w:cstheme="minorBidi"/>
              <w:b/>
              <w:noProof/>
              <w:sz w:val="16"/>
              <w:szCs w:val="22"/>
              <w:lang w:val="nb-NO" w:eastAsia="en-US" w:bidi="ar-SA"/>
            </w:rPr>
            <w:t>2</w:t>
          </w:r>
          <w:r w:rsidRPr="006D0D9C">
            <w:rPr>
              <w:b/>
              <w:sz w:val="16"/>
            </w:rPr>
            <w:fldChar w:fldCharType="end"/>
          </w:r>
        </w:p>
      </w:tc>
    </w:tr>
  </w:tbl>
  <w:p w:rsidR="0055380A" w14:paraId="4D86302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74D7A08"/>
    <w:multiLevelType w:val="hybridMultilevel"/>
    <w:tmpl w:val="CED43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72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12AB8"/>
    <w:rsid w:val="0002134F"/>
    <w:rsid w:val="000213FE"/>
    <w:rsid w:val="00023159"/>
    <w:rsid w:val="0004475E"/>
    <w:rsid w:val="00045BAF"/>
    <w:rsid w:val="000729D7"/>
    <w:rsid w:val="00073F12"/>
    <w:rsid w:val="000958D7"/>
    <w:rsid w:val="000D589B"/>
    <w:rsid w:val="000D7733"/>
    <w:rsid w:val="000F684A"/>
    <w:rsid w:val="00105027"/>
    <w:rsid w:val="001228EA"/>
    <w:rsid w:val="00132E00"/>
    <w:rsid w:val="001C3ED2"/>
    <w:rsid w:val="001D031A"/>
    <w:rsid w:val="0021670F"/>
    <w:rsid w:val="002206B8"/>
    <w:rsid w:val="0022379D"/>
    <w:rsid w:val="00245617"/>
    <w:rsid w:val="00287F4C"/>
    <w:rsid w:val="002D41F4"/>
    <w:rsid w:val="00327FDA"/>
    <w:rsid w:val="003A44A9"/>
    <w:rsid w:val="003E372F"/>
    <w:rsid w:val="003F736D"/>
    <w:rsid w:val="00435A8D"/>
    <w:rsid w:val="00446F7F"/>
    <w:rsid w:val="0049343D"/>
    <w:rsid w:val="004E4CB1"/>
    <w:rsid w:val="00516862"/>
    <w:rsid w:val="00521426"/>
    <w:rsid w:val="00533B64"/>
    <w:rsid w:val="0055380A"/>
    <w:rsid w:val="0055447C"/>
    <w:rsid w:val="00574118"/>
    <w:rsid w:val="005746A6"/>
    <w:rsid w:val="00582BFE"/>
    <w:rsid w:val="00585AAD"/>
    <w:rsid w:val="005E5084"/>
    <w:rsid w:val="005F03E0"/>
    <w:rsid w:val="0064502B"/>
    <w:rsid w:val="006C30FF"/>
    <w:rsid w:val="006C529B"/>
    <w:rsid w:val="006D0D9C"/>
    <w:rsid w:val="0071519B"/>
    <w:rsid w:val="00796AA3"/>
    <w:rsid w:val="007A1C9C"/>
    <w:rsid w:val="007C35A0"/>
    <w:rsid w:val="008513BA"/>
    <w:rsid w:val="008675F7"/>
    <w:rsid w:val="00893FB4"/>
    <w:rsid w:val="00916011"/>
    <w:rsid w:val="00945D39"/>
    <w:rsid w:val="00996365"/>
    <w:rsid w:val="009E0F07"/>
    <w:rsid w:val="00A005A6"/>
    <w:rsid w:val="00A317BE"/>
    <w:rsid w:val="00A35107"/>
    <w:rsid w:val="00AA330C"/>
    <w:rsid w:val="00AB5758"/>
    <w:rsid w:val="00B21BF3"/>
    <w:rsid w:val="00B24298"/>
    <w:rsid w:val="00B30E43"/>
    <w:rsid w:val="00B56361"/>
    <w:rsid w:val="00BA555E"/>
    <w:rsid w:val="00BC7E40"/>
    <w:rsid w:val="00C01AD4"/>
    <w:rsid w:val="00C04187"/>
    <w:rsid w:val="00C17683"/>
    <w:rsid w:val="00C43E2A"/>
    <w:rsid w:val="00C73A9B"/>
    <w:rsid w:val="00CC6760"/>
    <w:rsid w:val="00CE4560"/>
    <w:rsid w:val="00D02319"/>
    <w:rsid w:val="00D159E9"/>
    <w:rsid w:val="00D32A70"/>
    <w:rsid w:val="00D46331"/>
    <w:rsid w:val="00D6168B"/>
    <w:rsid w:val="00DA40CD"/>
    <w:rsid w:val="00DA7184"/>
    <w:rsid w:val="00DC5E02"/>
    <w:rsid w:val="00E1254E"/>
    <w:rsid w:val="00E61610"/>
    <w:rsid w:val="00E80A7E"/>
    <w:rsid w:val="00E82D57"/>
    <w:rsid w:val="00EE45EB"/>
    <w:rsid w:val="00F30BC9"/>
    <w:rsid w:val="00F97755"/>
    <w:rsid w:val="00FD0552"/>
    <w:rsid w:val="00FD060A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Mari Bergin"/>
    <w:docVar w:name="ek_bedriftsnavn" w:val="Overhalla Gruppen"/>
    <w:docVar w:name="ek_dbfields" w:val="EK_Avdeling¤2#4¤2# ¤3#EK_Avsnitt¤2#4¤2# ¤3#EK_Bedriftsnavn¤2#1¤2#Overhalla Gruppen¤3#EK_GjelderFra¤2#0¤2#28.04.2020¤3#EK_Opprettet¤2#0¤2#11.01.2018¤3#EK_Utgitt¤2#0¤2#01.02.2018¤3#EK_IBrukDato¤2#0¤2#28.04.2020¤3#EK_DokumentID¤2#0¤2#D02633¤3#EK_DokTittel¤2#0¤2#Løft av lave vegger¤3#EK_DokType¤2#0¤2#Generelt¤3#EK_EksRef¤2#2¤2# 0_x0009_¤3#EK_Erstatter¤2#0¤2#2.00¤3#EK_ErstatterD¤2#0¤2#20.02.2020¤3#EK_Signatur¤2#0¤2#Hans Bakken¤3#EK_Verifisert¤2#0¤2# ¤3#EK_Hørt¤2#0¤2# ¤3#EK_AuditReview¤2#2¤2# ¤3#EK_AuditApprove¤2#2¤2# ¤3#EK_Gradering¤2#0¤2#Åpen¤3#EK_Gradnr¤2#4¤2#0¤3#EK_Kapittel¤2#4¤2# ¤3#EK_Referanse¤2#2¤2# 0_x0009_¤3#EK_RefNr¤2#0¤2#1.4.14.2.19¤3#EK_Revisjon¤2#0¤2#3.00¤3#EK_Ansvarlig¤2#0¤2#Mari Bergin¤3#EK_Utext0¤2#0¤2#Pål Årsandøy¤3#EK_DokAnsvNavn¤2#0¤2#Thomas Hasvåg¤3#EK_Utext2¤2#0¤2#Konstruksjon¤3#EK_UText3¤2#0¤2# ¤3#EK_UText4¤2#0¤2# ¤3#EK_Status¤2#0¤2#I bruk¤3#EK_Stikkord¤2#0¤2#lave vegger høyt tyngdepunkt løft¤3#EK_SuperStikkord¤2#0¤2#¤3#EK_Rapport¤2#3¤2#¤3#EK_EKPrintMerke¤2#0¤2#Uoffisiell utskrift er kun gyldig på utskriftsdato¤3#EK_Watermark¤2#0¤2#¤3#EK_Utgave¤2#0¤2#3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9¤3#EK_GjelderTil¤2#0¤2#28.04.2021¤3#EK_Vedlegg¤2#2¤2# 0_x0009_¤3#EK_AvdelingOver¤2#4¤2# ¤3#EK_HRefNr¤2#0¤2# ¤3#EK_HbNavn¤2#0¤2# ¤3#EK_DokRefnr¤2#4¤2#0001041402¤3#EK_Dokendrdato¤2#4¤2#20.02.2020 10:06:23¤3#EK_HbType¤2#4¤2# ¤3#EK_Offisiell¤2#4¤2# ¤3#EK_VedleggRef¤2#4¤2#1.4.14.2.19¤3#EK_Strukt00¤2#5¤2#¤5#1¤5#Overhalla Betongbygg KS-system¤5#0¤5#0¤4#.¤5#4¤5#Konstruksjon¤5#0¤5#0¤4#.¤5#14¤5#Foretaksstandarder¤5#0¤5#0¤4#.¤5#2¤5#Isolerte vegger¤5#0¤5#0¤4#/¤3#EK_Strukt01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1¤5#Overhalla Betongbygg KS-system¤5#0¤5#0¤4#.¤5#4¤5#Konstruksjon¤5#0¤5#0¤4#.¤5#14¤5#Foretaksstandarder¤5#0¤5#0¤4#.¤5#2¤5#Isolerte vegger¤5#0¤5#0¤4#/¤3#"/>
    <w:docVar w:name="ek_dl" w:val="19"/>
    <w:docVar w:name="ek_dokansvnavn" w:val="Thomas Hasvåg"/>
    <w:docVar w:name="ek_doktittel" w:val="Løft av lave vegger"/>
    <w:docVar w:name="ek_doktype" w:val="Generelt"/>
    <w:docVar w:name="ek_dokumentid" w:val="D02633"/>
    <w:docVar w:name="ek_ekprintmerke" w:val="Uoffisiell utskrift er kun gyldig på utskriftsdato"/>
    <w:docVar w:name="ek_eksref" w:val="[EK_EksRef]"/>
    <w:docVar w:name="ek_erstatter" w:val="2.00"/>
    <w:docVar w:name="ek_erstatterd" w:val="20.02.2020"/>
    <w:docVar w:name="ek_format" w:val="-10"/>
    <w:docVar w:name="ek_gjelderfra" w:val="28.04.2020"/>
    <w:docVar w:name="ek_gjeldertil" w:val="28.04.2021"/>
    <w:docVar w:name="ek_gradering" w:val="Åpen"/>
    <w:docVar w:name="ek_hbnavn" w:val=" "/>
    <w:docVar w:name="ek_hrefnr" w:val=" "/>
    <w:docVar w:name="ek_hørt" w:val=" "/>
    <w:docVar w:name="ek_ibrukdato" w:val="28.04.2020"/>
    <w:docVar w:name="ek_merknad" w:val="[]"/>
    <w:docVar w:name="ek_opprettet" w:val="11.01.2018"/>
    <w:docVar w:name="EK_Protection" w:val="3"/>
    <w:docVar w:name="ek_rapport" w:val="[]"/>
    <w:docVar w:name="ek_refnr" w:val="1.4.14.2.19"/>
    <w:docVar w:name="ek_revisjon" w:val="3.00"/>
    <w:docVar w:name="ek_signatur" w:val="Hans Bakken"/>
    <w:docVar w:name="ek_status" w:val="I bruk"/>
    <w:docVar w:name="ek_stikkord" w:val="lave vegger høyt tyngdepunkt løft"/>
    <w:docVar w:name="EK_TYPE" w:val="DOK"/>
    <w:docVar w:name="ek_utext0" w:val="Pål Årsandøy"/>
    <w:docVar w:name="ek_utext2" w:val="Konstruksjon"/>
    <w:docVar w:name="ek_utext3" w:val=" "/>
    <w:docVar w:name="ek_utext4" w:val=" "/>
    <w:docVar w:name="ek_utgave" w:val="3.00"/>
    <w:docVar w:name="ek_utgitt" w:val="01.02.2018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D862FB8"/>
  <w15:docId w15:val="{6057CE83-5D62-4C03-B652-FDEAF2E9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E80A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DefaultParagraphFont"/>
    <w:link w:val="Header"/>
    <w:uiPriority w:val="99"/>
    <w:rsid w:val="00E80A7E"/>
    <w:rPr>
      <w:sz w:val="24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E80A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E80A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7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6.ti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ANS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43</TotalTime>
  <Pages>2</Pages>
  <Words>142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Løft av lave vegger</vt:lpstr>
      <vt:lpstr>Standard</vt:lpstr>
    </vt:vector>
  </TitlesOfParts>
  <Company>Datakvalitet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Løft av lave vegger</dc:title>
  <dc:subject>0001041402|1.4.14.2.19|</dc:subject>
  <dc:creator>Handbok</dc:creator>
  <dc:description>EK_Avdeling_x0002_4_x0002_ _x0003_EK_Avsnitt_x0002_4_x0002_ _x0003_EK_Bedriftsnavn_x0002_1_x0002_Overhalla Gruppen_x0003_EK_GjelderFra_x0002_0_x0002_28.04.2020_x0003_EK_Opprettet_x0002_0_x0002_11.01.2018_x0003_EK_Utgitt_x0002_0_x0002_01.02.2018_x0003_EK_IBrukDato_x0002_0_x0002_28.04.2020_x0003_EK_DokumentID_x0002_0_x0002_D02633_x0003_EK_DokTittel_x0002_0_x0002_Løft av lave vegger_x0003_EK_DokType_x0002_0_x0002_Generelt_x0003_EK_EksRef_x0002_2_x0002_ 0	_x0003_EK_Erstatter_x0002_0_x0002_2.00_x0003_EK_ErstatterD_x0002_0_x0002_20.02.2020_x0003_EK_Signatur_x0002_0_x0002_Hans Bakken_x0003_EK_Verifisert_x0002_0_x0002_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_x0003_EK_RefNr_x0002_0_x0002_1.4.14.2.19_x0003_EK_Revisjon_x0002_0_x0002_3.00_x0003_EK_Ansvarlig_x0002_0_x0002_Mari Bergin_x0003_EK_Utext0_x0002_0_x0002_Pål Årsandøy_x0003_EK_DokAnsvNavn_x0002_0_x0002_Thomas Hasvåg_x0003_EK_Utext2_x0002_0_x0002_Konstruksjon_x0003_EK_UText3_x0002_0_x0002_ _x0003_EK_UText4_x0002_0_x0002_ _x0003_EK_Status_x0002_0_x0002_I bruk_x0003_EK_Stikkord_x0002_0_x0002_lave vegger høyt tyngdepunkt løft_x0003_EK_SuperStikkord_x0002_0_x0002__x0003_EK_Rapport_x0002_3_x0002__x0003_EK_EKPrintMerke_x0002_0_x0002_Uoffisiell utskrift er kun gyldig på utskriftsdato_x0003_EK_Watermark_x0002_0_x0002__x0003_EK_Utgave_x0002_0_x0002_3.00_x0003_EK_Merknad_x0002_7_x0002__x0003_EK_VerLogg_x0002_2_x0002_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_x0003_EK_DL_x0002_0_x0002_19_x0003_EK_GjelderTil_x0002_0_x0002_28.04.2021_x0003_EK_Vedlegg_x0002_2_x0002_ 0	_x0003_EK_AvdelingOver_x0002_4_x0002_ _x0003_EK_HRefNr_x0002_0_x0002_ _x0003_EK_HbNavn_x0002_0_x0002_ _x0003_EK_DokRefnr_x0002_4_x0002_0001041402_x0003_EK_Dokendrdato_x0002_4_x0002_20.02.2020 10:06:23_x0003_EK_HbType_x0002_4_x0002_ _x0003_EK_Offisiell_x0002_4_x0002_ _x0003_EK_VedleggRef_x0002_4_x0002_1.4.14.2.19_x0003_EK_Strukt00_x0002_5_x0002__x0005_1_x0005_Overhalla Betongbygg KS-system_x0005_0_x0005_0_x0004_._x0005_4_x0005_Konstruksjon_x0005_0_x0005_0_x0004_._x0005_14_x0005_Foretaksstandarder_x0005_0_x0005_0_x0004_._x0005_2_x0005_Isolerte vegger_x0005_0_x0005_0_x0004_/_x0003_EK_Strukt01_x0002_5_x0002__x0003_EK_Pub_x0002_6_x0002_;15;18;_x0003_EKR_DokType_x0002_0_x0002_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_x0003_EKR_Strukt00_x0002_5_x0002__x0005_1_x0005_Overhalla Betongbygg KS-system_x0005_0_x0005_0_x0004_._x0005_4_x0005_Konstruksjon_x0005_0_x0005_0_x0004_._x0005_14_x0005_Foretaksstandarder_x0005_0_x0005_0_x0004_._x0005_2_x0005_Isolerte vegger_x0005_0_x0005_0_x0004_/_x0003_</dc:description>
  <cp:lastModifiedBy>Hans Bakken</cp:lastModifiedBy>
  <cp:revision>13</cp:revision>
  <cp:lastPrinted>2020-04-28T10:38:00Z</cp:lastPrinted>
  <dcterms:created xsi:type="dcterms:W3CDTF">2020-04-28T11:44:00Z</dcterms:created>
  <dcterms:modified xsi:type="dcterms:W3CDTF">2023-10-12T08:32:00Z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Maciej Wisniewski</vt:lpwstr>
  </property>
  <property fmtid="{D5CDD505-2E9C-101B-9397-08002B2CF9AE}" pid="3" name="EK_Bedriftsnavn">
    <vt:lpwstr>Overhalla Gruppen</vt:lpwstr>
  </property>
  <property fmtid="{D5CDD505-2E9C-101B-9397-08002B2CF9AE}" pid="4" name="EK_DokTittel">
    <vt:lpwstr>Løft av lave vegger</vt:lpwstr>
  </property>
  <property fmtid="{D5CDD505-2E9C-101B-9397-08002B2CF9AE}" pid="5" name="EK_EKPrintMerke">
    <vt:lpwstr>Uoffisiell utskrift er kun gyldig på utskriftsdato</vt:lpwstr>
  </property>
  <property fmtid="{D5CDD505-2E9C-101B-9397-08002B2CF9AE}" pid="6" name="EK_GjelderFra">
    <vt:lpwstr>12.10.2023</vt:lpwstr>
  </property>
  <property fmtid="{D5CDD505-2E9C-101B-9397-08002B2CF9AE}" pid="7" name="EK_RefNr">
    <vt:lpwstr>1.2.4.14.2.19</vt:lpwstr>
  </property>
  <property fmtid="{D5CDD505-2E9C-101B-9397-08002B2CF9AE}" pid="8" name="EK_Signatur">
    <vt:lpwstr>Hans Bakken</vt:lpwstr>
  </property>
  <property fmtid="{D5CDD505-2E9C-101B-9397-08002B2CF9AE}" pid="9" name="EK_UText2">
    <vt:lpwstr>Konstruksjon</vt:lpwstr>
  </property>
  <property fmtid="{D5CDD505-2E9C-101B-9397-08002B2CF9AE}" pid="10" name="EK_Utgave">
    <vt:lpwstr>5.00</vt:lpwstr>
  </property>
  <property fmtid="{D5CDD505-2E9C-101B-9397-08002B2CF9AE}" pid="11" name="EK_Watermark">
    <vt:lpwstr/>
  </property>
</Properties>
</file>